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仿宋_GB2312" w:hAnsi="仿宋_GB2312" w:eastAsia="仿宋_GB2312" w:cs="仿宋_GB2312"/>
          <w:b w:val="0"/>
          <w:bCs w:val="0"/>
          <w:color w:val="000000"/>
          <w:sz w:val="32"/>
          <w:szCs w:val="32"/>
          <w:lang w:val="en-US" w:eastAsia="zh-CN"/>
        </w:rPr>
      </w:pPr>
      <w:bookmarkStart w:id="0" w:name="_GoBack"/>
      <w:bookmarkEnd w:id="0"/>
      <w:r>
        <w:rPr>
          <w:rFonts w:hint="eastAsia" w:ascii="仿宋_GB2312" w:hAnsi="仿宋_GB2312" w:eastAsia="仿宋_GB2312" w:cs="仿宋_GB2312"/>
          <w:b w:val="0"/>
          <w:bCs w:val="0"/>
          <w:color w:val="000000"/>
          <w:sz w:val="32"/>
          <w:szCs w:val="32"/>
          <w:lang w:eastAsia="zh-CN"/>
        </w:rPr>
        <w:t>附件</w:t>
      </w:r>
      <w:r>
        <w:rPr>
          <w:rFonts w:hint="default" w:ascii="Times New Roman" w:hAnsi="Times New Roman" w:eastAsia="仿宋_GB2312" w:cs="Times New Roman"/>
          <w:b w:val="0"/>
          <w:bCs w:val="0"/>
          <w:color w:val="000000"/>
          <w:sz w:val="32"/>
          <w:szCs w:val="32"/>
          <w:lang w:val="en-US" w:eastAsia="zh-CN"/>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华文中宋" w:hAnsi="华文中宋" w:eastAsia="华文中宋" w:cs="华文中宋"/>
          <w:b/>
          <w:bCs/>
          <w:color w:val="000000"/>
          <w:sz w:val="44"/>
          <w:szCs w:val="44"/>
        </w:rPr>
      </w:pPr>
      <w:r>
        <w:rPr>
          <w:rFonts w:hint="default" w:ascii="Times New Roman" w:hAnsi="Times New Roman" w:eastAsia="华文中宋" w:cs="Times New Roman"/>
          <w:b/>
          <w:bCs/>
          <w:color w:val="000000"/>
          <w:sz w:val="44"/>
          <w:szCs w:val="44"/>
        </w:rPr>
        <w:t>2024</w:t>
      </w:r>
      <w:r>
        <w:rPr>
          <w:rFonts w:hint="eastAsia" w:ascii="华文中宋" w:hAnsi="华文中宋" w:eastAsia="华文中宋" w:cs="华文中宋"/>
          <w:b/>
          <w:bCs/>
          <w:color w:val="000000"/>
          <w:sz w:val="44"/>
          <w:szCs w:val="44"/>
        </w:rPr>
        <w:t>年国家公派高级研究学者、访问学者、博士后项目工作流程</w:t>
      </w:r>
    </w:p>
    <w:tbl>
      <w:tblPr>
        <w:tblStyle w:val="5"/>
        <w:tblW w:w="13826"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1068"/>
        <w:gridCol w:w="1630"/>
        <w:gridCol w:w="1875"/>
        <w:gridCol w:w="4899"/>
        <w:gridCol w:w="435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rHeight w:val="870" w:hRule="atLeast"/>
          <w:jc w:val="center"/>
        </w:trPr>
        <w:tc>
          <w:tcPr>
            <w:tcW w:w="106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bidi="ar"/>
              </w:rPr>
              <w:t>步骤</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bidi="ar"/>
              </w:rPr>
              <w:t>时间</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bidi="ar"/>
              </w:rPr>
              <w:t>申请人类别</w:t>
            </w:r>
          </w:p>
        </w:tc>
        <w:tc>
          <w:tcPr>
            <w:tcW w:w="489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bidi="ar"/>
              </w:rPr>
              <w:t>具体内容</w:t>
            </w:r>
          </w:p>
        </w:tc>
        <w:tc>
          <w:tcPr>
            <w:tcW w:w="435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kern w:val="0"/>
                <w:sz w:val="28"/>
                <w:szCs w:val="28"/>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06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kern w:val="0"/>
                <w:sz w:val="28"/>
                <w:szCs w:val="28"/>
                <w:lang w:val="en-US" w:eastAsia="zh-CN" w:bidi="ar"/>
              </w:rPr>
              <w:t>准备</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4</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10</w:t>
            </w:r>
            <w:r>
              <w:rPr>
                <w:rFonts w:hint="default" w:ascii="Times New Roman" w:hAnsi="Times New Roman" w:eastAsia="仿宋_GB2312" w:cs="Times New Roman"/>
                <w:kern w:val="0"/>
                <w:sz w:val="28"/>
                <w:szCs w:val="28"/>
                <w:lang w:val="en-US" w:eastAsia="zh-CN" w:bidi="ar"/>
              </w:rPr>
              <w:t>日前</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高级研究学者、访问学者</w:t>
            </w:r>
          </w:p>
        </w:tc>
        <w:tc>
          <w:tcPr>
            <w:tcW w:w="489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1</w:t>
            </w:r>
            <w:r>
              <w:rPr>
                <w:rFonts w:hint="default" w:ascii="Times New Roman" w:hAnsi="Times New Roman" w:eastAsia="仿宋_GB2312" w:cs="Times New Roman"/>
                <w:kern w:val="0"/>
                <w:sz w:val="28"/>
                <w:szCs w:val="28"/>
                <w:lang w:val="en-US" w:eastAsia="zh-CN" w:bidi="ar"/>
              </w:rPr>
              <w:t>.申请人员查看选派指南，确定是否有资格申请。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2</w:t>
            </w:r>
            <w:r>
              <w:rPr>
                <w:rFonts w:hint="default" w:ascii="Times New Roman" w:hAnsi="Times New Roman" w:eastAsia="仿宋_GB2312" w:cs="Times New Roman"/>
                <w:kern w:val="0"/>
                <w:sz w:val="28"/>
                <w:szCs w:val="28"/>
                <w:lang w:val="en-US" w:eastAsia="zh-CN" w:bidi="ar"/>
              </w:rPr>
              <w:t>.申请人自行或通过所在单位对外联系，取得外方正式入学通知书或邀请信，并按</w:t>
            </w:r>
            <w:r>
              <w:rPr>
                <w:rFonts w:hint="default" w:ascii="Times New Roman" w:hAnsi="Times New Roman" w:eastAsia="仿宋_GB2312" w:cs="Times New Roman"/>
                <w:color w:val="auto"/>
                <w:sz w:val="28"/>
                <w:szCs w:val="28"/>
                <w:u w:val="none"/>
              </w:rPr>
              <w:t>应提交的申请材料及说明</w:t>
            </w:r>
            <w:r>
              <w:rPr>
                <w:rFonts w:hint="default" w:ascii="Times New Roman" w:hAnsi="Times New Roman" w:eastAsia="仿宋_GB2312" w:cs="Times New Roman"/>
                <w:kern w:val="0"/>
                <w:sz w:val="28"/>
                <w:szCs w:val="28"/>
                <w:lang w:val="en-US" w:eastAsia="zh-CN" w:bidi="ar"/>
              </w:rPr>
              <w:t>准备申请材料。</w:t>
            </w:r>
          </w:p>
        </w:tc>
        <w:tc>
          <w:tcPr>
            <w:tcW w:w="4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jc w:val="center"/>
        </w:trPr>
        <w:tc>
          <w:tcPr>
            <w:tcW w:w="106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5</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10</w:t>
            </w:r>
            <w:r>
              <w:rPr>
                <w:rFonts w:hint="default" w:ascii="Times New Roman" w:hAnsi="Times New Roman" w:eastAsia="仿宋_GB2312" w:cs="Times New Roman"/>
                <w:kern w:val="0"/>
                <w:sz w:val="28"/>
                <w:szCs w:val="28"/>
                <w:lang w:val="en-US" w:eastAsia="zh-CN" w:bidi="ar"/>
              </w:rPr>
              <w:t>日前</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博士后</w:t>
            </w:r>
          </w:p>
        </w:tc>
        <w:tc>
          <w:tcPr>
            <w:tcW w:w="489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c>
          <w:tcPr>
            <w:tcW w:w="4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06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kern w:val="0"/>
                <w:sz w:val="28"/>
                <w:szCs w:val="28"/>
                <w:lang w:val="en-US" w:eastAsia="zh-CN" w:bidi="ar"/>
              </w:rPr>
              <w:t>申报</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4</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10</w:t>
            </w:r>
            <w:r>
              <w:rPr>
                <w:rFonts w:hint="default" w:ascii="Times New Roman" w:hAnsi="Times New Roman" w:eastAsia="仿宋_GB2312" w:cs="Times New Roman"/>
                <w:kern w:val="0"/>
                <w:sz w:val="28"/>
                <w:szCs w:val="28"/>
                <w:lang w:val="en-US" w:eastAsia="zh-CN" w:bidi="ar"/>
              </w:rPr>
              <w:t>日-</w:t>
            </w:r>
            <w:r>
              <w:rPr>
                <w:rFonts w:hint="default" w:ascii="Times New Roman" w:hAnsi="Times New Roman" w:eastAsia="仿宋_GB2312" w:cs="Times New Roman"/>
                <w:kern w:val="0"/>
                <w:sz w:val="28"/>
                <w:szCs w:val="28"/>
                <w:lang w:val="en-US" w:eastAsia="zh-CN" w:bidi="ar"/>
              </w:rPr>
              <w:t>30</w:t>
            </w:r>
            <w:r>
              <w:rPr>
                <w:rFonts w:hint="default" w:ascii="Times New Roman" w:hAnsi="Times New Roman" w:eastAsia="仿宋_GB2312" w:cs="Times New Roman"/>
                <w:kern w:val="0"/>
                <w:sz w:val="28"/>
                <w:szCs w:val="28"/>
                <w:lang w:val="en-US" w:eastAsia="zh-CN" w:bidi="ar"/>
              </w:rPr>
              <w:t>日</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高级研究学者、访问学者</w:t>
            </w:r>
          </w:p>
        </w:tc>
        <w:tc>
          <w:tcPr>
            <w:tcW w:w="489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申请人网上报名；推选单位审核材料并出具推荐意见；申请材料统一提交至相关受理单位。</w:t>
            </w:r>
          </w:p>
        </w:tc>
        <w:tc>
          <w:tcPr>
            <w:tcW w:w="4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有关高校负责受理本校人员的申请；其他人员申请由所在地区（单位、部门）国家留学基金申请受理单位负责受理（详情查阅</w:t>
            </w:r>
            <w:r>
              <w:rPr>
                <w:rFonts w:hint="default" w:ascii="Times New Roman" w:hAnsi="Times New Roman" w:eastAsia="仿宋_GB2312" w:cs="Times New Roman"/>
                <w:color w:val="auto"/>
                <w:sz w:val="28"/>
                <w:szCs w:val="28"/>
                <w:u w:val="none"/>
              </w:rPr>
              <w:t>受理单位一览表</w:t>
            </w:r>
            <w:r>
              <w:rPr>
                <w:rFonts w:hint="default" w:ascii="Times New Roman" w:hAnsi="Times New Roman" w:eastAsia="仿宋_GB2312" w:cs="Times New Roman"/>
                <w:kern w:val="0"/>
                <w:sz w:val="28"/>
                <w:szCs w:val="28"/>
                <w:lang w:val="en-US" w:eastAsia="zh-CN" w:bidi="ar"/>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jc w:val="center"/>
        </w:trPr>
        <w:tc>
          <w:tcPr>
            <w:tcW w:w="106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5</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10</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31</w:t>
            </w:r>
            <w:r>
              <w:rPr>
                <w:rFonts w:hint="default" w:ascii="Times New Roman" w:hAnsi="Times New Roman" w:eastAsia="仿宋_GB2312" w:cs="Times New Roman"/>
                <w:kern w:val="0"/>
                <w:sz w:val="28"/>
                <w:szCs w:val="28"/>
                <w:lang w:val="en-US" w:eastAsia="zh-CN" w:bidi="ar"/>
              </w:rPr>
              <w:t>日</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博士后</w:t>
            </w:r>
          </w:p>
        </w:tc>
        <w:tc>
          <w:tcPr>
            <w:tcW w:w="489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rPr>
            </w:pPr>
          </w:p>
        </w:tc>
        <w:tc>
          <w:tcPr>
            <w:tcW w:w="4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06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kern w:val="0"/>
                <w:sz w:val="28"/>
                <w:szCs w:val="28"/>
                <w:lang w:val="en-US" w:eastAsia="zh-CN" w:bidi="ar"/>
              </w:rPr>
              <w:t>受理及</w:t>
            </w:r>
            <w:r>
              <w:rPr>
                <w:rFonts w:hint="default" w:ascii="Times New Roman" w:hAnsi="Times New Roman" w:eastAsia="仿宋_GB2312" w:cs="Times New Roman"/>
                <w:b/>
                <w:bCs/>
                <w:kern w:val="0"/>
                <w:sz w:val="28"/>
                <w:szCs w:val="28"/>
                <w:lang w:val="en-US" w:eastAsia="zh-CN" w:bidi="ar"/>
              </w:rPr>
              <w:br w:type="textWrapping"/>
            </w:r>
            <w:r>
              <w:rPr>
                <w:rFonts w:hint="default" w:ascii="Times New Roman" w:hAnsi="Times New Roman" w:eastAsia="仿宋_GB2312" w:cs="Times New Roman"/>
                <w:b/>
                <w:bCs/>
                <w:kern w:val="0"/>
                <w:sz w:val="28"/>
                <w:szCs w:val="28"/>
                <w:lang w:val="en-US" w:eastAsia="zh-CN" w:bidi="ar"/>
              </w:rPr>
              <w:t>材料审核</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5</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20</w:t>
            </w:r>
            <w:r>
              <w:rPr>
                <w:rFonts w:hint="default" w:ascii="Times New Roman" w:hAnsi="Times New Roman" w:eastAsia="仿宋_GB2312" w:cs="Times New Roman"/>
                <w:kern w:val="0"/>
                <w:sz w:val="28"/>
                <w:szCs w:val="28"/>
                <w:lang w:val="en-US" w:eastAsia="zh-CN" w:bidi="ar"/>
              </w:rPr>
              <w:t>日前</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高级研究学者、访问学者</w:t>
            </w:r>
          </w:p>
        </w:tc>
        <w:tc>
          <w:tcPr>
            <w:tcW w:w="489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1</w:t>
            </w:r>
            <w:r>
              <w:rPr>
                <w:rFonts w:hint="default" w:ascii="Times New Roman" w:hAnsi="Times New Roman" w:eastAsia="仿宋_GB2312" w:cs="Times New Roman"/>
                <w:kern w:val="0"/>
                <w:sz w:val="28"/>
                <w:szCs w:val="28"/>
                <w:lang w:val="en-US" w:eastAsia="zh-CN" w:bidi="ar"/>
              </w:rPr>
              <w:t>.受理单位接收申请人材料，并按要求进行材料审核。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2</w:t>
            </w:r>
            <w:r>
              <w:rPr>
                <w:rFonts w:hint="default" w:ascii="Times New Roman" w:hAnsi="Times New Roman" w:eastAsia="仿宋_GB2312" w:cs="Times New Roman"/>
                <w:kern w:val="0"/>
                <w:sz w:val="28"/>
                <w:szCs w:val="28"/>
                <w:lang w:val="en-US" w:eastAsia="zh-CN" w:bidi="ar"/>
              </w:rPr>
              <w:t>.受理单位通过信息平台向国家留学基金委提交推荐公函、推荐人员名单和申请人的电子材料。</w:t>
            </w:r>
          </w:p>
        </w:tc>
        <w:tc>
          <w:tcPr>
            <w:tcW w:w="4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jc w:val="center"/>
        </w:trPr>
        <w:tc>
          <w:tcPr>
            <w:tcW w:w="106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6</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20</w:t>
            </w:r>
            <w:r>
              <w:rPr>
                <w:rFonts w:hint="default" w:ascii="Times New Roman" w:hAnsi="Times New Roman" w:eastAsia="仿宋_GB2312" w:cs="Times New Roman"/>
                <w:kern w:val="0"/>
                <w:sz w:val="28"/>
                <w:szCs w:val="28"/>
                <w:lang w:val="en-US" w:eastAsia="zh-CN" w:bidi="ar"/>
              </w:rPr>
              <w:t>日前</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博士后</w:t>
            </w:r>
          </w:p>
        </w:tc>
        <w:tc>
          <w:tcPr>
            <w:tcW w:w="489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c>
          <w:tcPr>
            <w:tcW w:w="4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745" w:hRule="atLeast"/>
          <w:jc w:val="center"/>
        </w:trPr>
        <w:tc>
          <w:tcPr>
            <w:tcW w:w="1068"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黑体" w:cs="Times New Roman"/>
                <w:b/>
                <w:bCs/>
                <w:kern w:val="2"/>
                <w:sz w:val="28"/>
                <w:szCs w:val="28"/>
                <w:lang w:val="en-US" w:eastAsia="zh-CN" w:bidi="ar-SA"/>
              </w:rPr>
            </w:pPr>
            <w:r>
              <w:rPr>
                <w:rFonts w:hint="default" w:ascii="Times New Roman" w:hAnsi="Times New Roman" w:eastAsia="黑体" w:cs="Times New Roman"/>
                <w:b w:val="0"/>
                <w:bCs w:val="0"/>
                <w:kern w:val="0"/>
                <w:sz w:val="28"/>
                <w:szCs w:val="28"/>
                <w:lang w:val="en-US" w:eastAsia="zh-CN" w:bidi="ar"/>
              </w:rPr>
              <w:t>步骤</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0"/>
                <w:sz w:val="28"/>
                <w:szCs w:val="28"/>
                <w:lang w:val="en-US" w:eastAsia="zh-CN" w:bidi="ar"/>
              </w:rPr>
              <w:t>时间</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0"/>
                <w:sz w:val="28"/>
                <w:szCs w:val="28"/>
                <w:lang w:val="en-US" w:eastAsia="zh-CN" w:bidi="ar"/>
              </w:rPr>
              <w:t>申请人类别</w:t>
            </w:r>
          </w:p>
        </w:tc>
        <w:tc>
          <w:tcPr>
            <w:tcW w:w="4899"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0"/>
                <w:sz w:val="28"/>
                <w:szCs w:val="28"/>
                <w:lang w:val="en-US" w:eastAsia="zh-CN" w:bidi="ar"/>
              </w:rPr>
              <w:t>具体内容</w:t>
            </w:r>
          </w:p>
        </w:tc>
        <w:tc>
          <w:tcPr>
            <w:tcW w:w="435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default" w:ascii="Times New Roman" w:hAnsi="Times New Roman" w:eastAsia="黑体" w:cs="Times New Roman"/>
                <w:kern w:val="2"/>
                <w:sz w:val="28"/>
                <w:szCs w:val="28"/>
                <w:lang w:val="en-US" w:eastAsia="zh-CN" w:bidi="ar-SA"/>
              </w:rPr>
            </w:pPr>
            <w:r>
              <w:rPr>
                <w:rFonts w:hint="default" w:ascii="Times New Roman" w:hAnsi="Times New Roman" w:eastAsia="黑体" w:cs="Times New Roman"/>
                <w:kern w:val="0"/>
                <w:sz w:val="28"/>
                <w:szCs w:val="28"/>
                <w:lang w:val="en-US" w:eastAsia="zh-CN" w:bidi="ar"/>
              </w:rPr>
              <w:t>备注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06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kern w:val="0"/>
                <w:sz w:val="28"/>
                <w:szCs w:val="28"/>
                <w:lang w:val="en-US" w:eastAsia="zh-CN" w:bidi="ar"/>
              </w:rPr>
              <w:t>评审、录取</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5</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6</w:t>
            </w:r>
            <w:r>
              <w:rPr>
                <w:rFonts w:hint="default" w:ascii="Times New Roman" w:hAnsi="Times New Roman" w:eastAsia="仿宋_GB2312" w:cs="Times New Roman"/>
                <w:kern w:val="0"/>
                <w:sz w:val="28"/>
                <w:szCs w:val="28"/>
                <w:lang w:val="en-US" w:eastAsia="zh-CN" w:bidi="ar"/>
              </w:rPr>
              <w:t>月</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高级研究学者、访问学者</w:t>
            </w:r>
          </w:p>
        </w:tc>
        <w:tc>
          <w:tcPr>
            <w:tcW w:w="489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国家留学基金委组织专家对申请材料进行评审，公布录取结果。</w:t>
            </w:r>
          </w:p>
        </w:tc>
        <w:tc>
          <w:tcPr>
            <w:tcW w:w="4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申请人可登录国家公派留学管理信息平台（</w:t>
            </w:r>
            <w:r>
              <w:rPr>
                <w:rFonts w:hint="default" w:ascii="Times New Roman" w:hAnsi="Times New Roman" w:eastAsia="仿宋_GB2312" w:cs="Times New Roman"/>
                <w:color w:val="auto"/>
                <w:sz w:val="28"/>
                <w:szCs w:val="28"/>
                <w:u w:val="none"/>
              </w:rPr>
              <w:t>https://sa.csc.edu.cn/student</w:t>
            </w:r>
            <w:r>
              <w:rPr>
                <w:rFonts w:hint="default" w:ascii="Times New Roman" w:hAnsi="Times New Roman" w:eastAsia="仿宋_GB2312" w:cs="Times New Roman"/>
                <w:kern w:val="0"/>
                <w:sz w:val="28"/>
                <w:szCs w:val="28"/>
                <w:lang w:val="en-US" w:eastAsia="zh-CN" w:bidi="ar"/>
              </w:rPr>
              <w:t>）查询录取结果，下载打印录取文件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jc w:val="center"/>
        </w:trPr>
        <w:tc>
          <w:tcPr>
            <w:tcW w:w="106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6</w:t>
            </w:r>
            <w:r>
              <w:rPr>
                <w:rFonts w:hint="default" w:ascii="Times New Roman" w:hAnsi="Times New Roman" w:eastAsia="仿宋_GB2312" w:cs="Times New Roman"/>
                <w:kern w:val="0"/>
                <w:sz w:val="28"/>
                <w:szCs w:val="28"/>
                <w:lang w:val="en-US" w:eastAsia="zh-CN" w:bidi="ar"/>
              </w:rPr>
              <w:t>月-</w:t>
            </w:r>
            <w:r>
              <w:rPr>
                <w:rFonts w:hint="default" w:ascii="Times New Roman" w:hAnsi="Times New Roman" w:eastAsia="仿宋_GB2312" w:cs="Times New Roman"/>
                <w:kern w:val="0"/>
                <w:sz w:val="28"/>
                <w:szCs w:val="28"/>
                <w:lang w:val="en-US" w:eastAsia="zh-CN" w:bidi="ar"/>
              </w:rPr>
              <w:t>7</w:t>
            </w:r>
            <w:r>
              <w:rPr>
                <w:rFonts w:hint="default" w:ascii="Times New Roman" w:hAnsi="Times New Roman" w:eastAsia="仿宋_GB2312" w:cs="Times New Roman"/>
                <w:kern w:val="0"/>
                <w:sz w:val="28"/>
                <w:szCs w:val="28"/>
                <w:lang w:val="en-US" w:eastAsia="zh-CN" w:bidi="ar"/>
              </w:rPr>
              <w:t>月</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博士后</w:t>
            </w:r>
          </w:p>
        </w:tc>
        <w:tc>
          <w:tcPr>
            <w:tcW w:w="489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rPr>
            </w:pPr>
          </w:p>
        </w:tc>
        <w:tc>
          <w:tcPr>
            <w:tcW w:w="4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06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kern w:val="0"/>
                <w:sz w:val="28"/>
                <w:szCs w:val="28"/>
                <w:lang w:val="en-US" w:eastAsia="zh-CN" w:bidi="ar"/>
              </w:rPr>
              <w:t>外语准备</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7</w:t>
            </w:r>
            <w:r>
              <w:rPr>
                <w:rFonts w:hint="default" w:ascii="Times New Roman" w:hAnsi="Times New Roman" w:eastAsia="仿宋_GB2312" w:cs="Times New Roman"/>
                <w:kern w:val="0"/>
                <w:sz w:val="28"/>
                <w:szCs w:val="28"/>
                <w:lang w:val="en-US" w:eastAsia="zh-CN" w:bidi="ar"/>
              </w:rPr>
              <w:t>月起</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高级研究学者、访问学者</w:t>
            </w:r>
          </w:p>
        </w:tc>
        <w:tc>
          <w:tcPr>
            <w:tcW w:w="489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外语未达到合格条件的被录取人员参加教育部指定出国留学人员培训部组织的语言培训或自行参加相应外语考试。 </w:t>
            </w:r>
          </w:p>
        </w:tc>
        <w:tc>
          <w:tcPr>
            <w:tcW w:w="4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留学人员需自行联系培训部参加外语培训（点击查阅培训部联系方式）。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06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rPr>
            </w:pP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8</w:t>
            </w:r>
            <w:r>
              <w:rPr>
                <w:rFonts w:hint="default" w:ascii="Times New Roman" w:hAnsi="Times New Roman" w:eastAsia="仿宋_GB2312" w:cs="Times New Roman"/>
                <w:kern w:val="0"/>
                <w:sz w:val="28"/>
                <w:szCs w:val="28"/>
                <w:lang w:val="en-US" w:eastAsia="zh-CN" w:bidi="ar"/>
              </w:rPr>
              <w:t>月起</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博士后</w:t>
            </w:r>
          </w:p>
        </w:tc>
        <w:tc>
          <w:tcPr>
            <w:tcW w:w="489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sz w:val="28"/>
                <w:szCs w:val="28"/>
              </w:rPr>
            </w:pPr>
          </w:p>
        </w:tc>
        <w:tc>
          <w:tcPr>
            <w:tcW w:w="4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jc w:val="center"/>
        </w:trPr>
        <w:tc>
          <w:tcPr>
            <w:tcW w:w="1068"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kern w:val="0"/>
                <w:sz w:val="28"/>
                <w:szCs w:val="28"/>
                <w:lang w:val="en-US" w:eastAsia="zh-CN" w:bidi="ar"/>
              </w:rPr>
              <w:t>派出</w:t>
            </w: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7</w:t>
            </w:r>
            <w:r>
              <w:rPr>
                <w:rFonts w:hint="default" w:ascii="Times New Roman" w:hAnsi="Times New Roman" w:eastAsia="仿宋_GB2312" w:cs="Times New Roman"/>
                <w:kern w:val="0"/>
                <w:sz w:val="28"/>
                <w:szCs w:val="28"/>
                <w:lang w:val="en-US" w:eastAsia="zh-CN" w:bidi="ar"/>
              </w:rPr>
              <w:t>月起</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高级研究学者、访问学者</w:t>
            </w:r>
          </w:p>
        </w:tc>
        <w:tc>
          <w:tcPr>
            <w:tcW w:w="4899"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1</w:t>
            </w:r>
            <w:r>
              <w:rPr>
                <w:rFonts w:hint="default" w:ascii="Times New Roman" w:hAnsi="Times New Roman" w:eastAsia="仿宋_GB2312" w:cs="Times New Roman"/>
                <w:kern w:val="0"/>
                <w:sz w:val="28"/>
                <w:szCs w:val="28"/>
                <w:lang w:val="en-US" w:eastAsia="zh-CN" w:bidi="ar"/>
              </w:rPr>
              <w:t>.办理派出手续：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val="en-US" w:eastAsia="zh-CN" w:bidi="ar"/>
              </w:rPr>
              <w:t>1</w:t>
            </w:r>
            <w:r>
              <w:rPr>
                <w:rFonts w:hint="default" w:ascii="Times New Roman" w:hAnsi="Times New Roman" w:eastAsia="仿宋_GB2312" w:cs="Times New Roman"/>
                <w:kern w:val="0"/>
                <w:sz w:val="28"/>
                <w:szCs w:val="28"/>
                <w:lang w:val="en-US" w:eastAsia="zh-CN" w:bidi="ar"/>
              </w:rPr>
              <w:t>）登录国家公派留学管理信息平台（</w:t>
            </w:r>
            <w:r>
              <w:rPr>
                <w:rFonts w:hint="default" w:ascii="Times New Roman" w:hAnsi="Times New Roman" w:eastAsia="仿宋_GB2312" w:cs="Times New Roman"/>
                <w:color w:val="auto"/>
                <w:sz w:val="28"/>
                <w:szCs w:val="28"/>
                <w:u w:val="none"/>
              </w:rPr>
              <w:t>https://sa.csc.edu.cn/student</w:t>
            </w:r>
            <w:r>
              <w:rPr>
                <w:rFonts w:hint="default" w:ascii="Times New Roman" w:hAnsi="Times New Roman" w:eastAsia="仿宋_GB2312" w:cs="Times New Roman"/>
                <w:kern w:val="0"/>
                <w:sz w:val="28"/>
                <w:szCs w:val="28"/>
                <w:lang w:val="en-US" w:eastAsia="zh-CN" w:bidi="ar"/>
              </w:rPr>
              <w:t>）查阅是否需要办理《同意办理派出手续的函》及办理方式。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w:t>
            </w:r>
            <w:r>
              <w:rPr>
                <w:rFonts w:hint="default" w:ascii="Times New Roman" w:hAnsi="Times New Roman" w:eastAsia="仿宋_GB2312" w:cs="Times New Roman"/>
                <w:kern w:val="0"/>
                <w:sz w:val="28"/>
                <w:szCs w:val="28"/>
                <w:lang w:val="en-US" w:eastAsia="zh-CN" w:bidi="ar"/>
              </w:rPr>
              <w:t>2</w:t>
            </w:r>
            <w:r>
              <w:rPr>
                <w:rFonts w:hint="default" w:ascii="Times New Roman" w:hAnsi="Times New Roman" w:eastAsia="仿宋_GB2312" w:cs="Times New Roman"/>
                <w:kern w:val="0"/>
                <w:sz w:val="28"/>
                <w:szCs w:val="28"/>
                <w:lang w:val="en-US" w:eastAsia="zh-CN" w:bidi="ar"/>
              </w:rPr>
              <w:t>）签署《国家公派出国留学协议书》 ，办理签证、预订机票等派出手续。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2</w:t>
            </w:r>
            <w:r>
              <w:rPr>
                <w:rFonts w:hint="default" w:ascii="Times New Roman" w:hAnsi="Times New Roman" w:eastAsia="仿宋_GB2312" w:cs="Times New Roman"/>
                <w:kern w:val="0"/>
                <w:sz w:val="28"/>
                <w:szCs w:val="28"/>
                <w:lang w:val="en-US" w:eastAsia="zh-CN" w:bidi="ar"/>
              </w:rPr>
              <w:t>.国外报到：留学人员自抵达留学所在国后</w:t>
            </w:r>
            <w:r>
              <w:rPr>
                <w:rFonts w:hint="default" w:ascii="Times New Roman" w:hAnsi="Times New Roman" w:eastAsia="仿宋_GB2312" w:cs="Times New Roman"/>
                <w:kern w:val="0"/>
                <w:sz w:val="28"/>
                <w:szCs w:val="28"/>
                <w:lang w:val="en-US" w:eastAsia="zh-CN" w:bidi="ar"/>
              </w:rPr>
              <w:t>10</w:t>
            </w:r>
            <w:r>
              <w:rPr>
                <w:rFonts w:hint="default" w:ascii="Times New Roman" w:hAnsi="Times New Roman" w:eastAsia="仿宋_GB2312" w:cs="Times New Roman"/>
                <w:kern w:val="0"/>
                <w:sz w:val="28"/>
                <w:szCs w:val="28"/>
                <w:lang w:val="en-US" w:eastAsia="zh-CN" w:bidi="ar"/>
              </w:rPr>
              <w:t>日内须凭《国家留学基金资助出国留学资格证书》等材料向中国驻留学所在国使（领）馆办理报到手续。</w:t>
            </w:r>
          </w:p>
        </w:tc>
        <w:tc>
          <w:tcPr>
            <w:tcW w:w="4354" w:type="dxa"/>
            <w:vMerge w:val="restart"/>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详见《出国留学人员须知》（请在信息平台中下载）。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jc w:val="center"/>
        </w:trPr>
        <w:tc>
          <w:tcPr>
            <w:tcW w:w="1068"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c>
          <w:tcPr>
            <w:tcW w:w="163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8</w:t>
            </w:r>
            <w:r>
              <w:rPr>
                <w:rFonts w:hint="default" w:ascii="Times New Roman" w:hAnsi="Times New Roman" w:eastAsia="仿宋_GB2312" w:cs="Times New Roman"/>
                <w:kern w:val="0"/>
                <w:sz w:val="28"/>
                <w:szCs w:val="28"/>
                <w:lang w:val="en-US" w:eastAsia="zh-CN" w:bidi="ar"/>
              </w:rPr>
              <w:t>月起</w:t>
            </w:r>
          </w:p>
        </w:tc>
        <w:tc>
          <w:tcPr>
            <w:tcW w:w="187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bidi="ar"/>
              </w:rPr>
              <w:t>博士后</w:t>
            </w:r>
          </w:p>
        </w:tc>
        <w:tc>
          <w:tcPr>
            <w:tcW w:w="4899"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c>
          <w:tcPr>
            <w:tcW w:w="4354" w:type="dxa"/>
            <w:vMerge w:val="continue"/>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（摘自国家留学网-</w:t>
      </w:r>
      <w:r>
        <w:rPr>
          <w:rFonts w:hint="default" w:ascii="Times New Roman" w:hAnsi="Times New Roman" w:eastAsia="仿宋_GB2312" w:cs="Times New Roman"/>
          <w:sz w:val="21"/>
          <w:szCs w:val="21"/>
        </w:rPr>
        <w:t>2024</w:t>
      </w:r>
      <w:r>
        <w:rPr>
          <w:rFonts w:hint="eastAsia" w:ascii="仿宋_GB2312" w:hAnsi="仿宋_GB2312" w:eastAsia="仿宋_GB2312" w:cs="仿宋_GB2312"/>
          <w:sz w:val="21"/>
          <w:szCs w:val="21"/>
        </w:rPr>
        <w:t>年国家公派高级研究学者、访问学者、博士后项目专栏：https://www.csc.edu.cn/chuguo/s/</w:t>
      </w:r>
      <w:r>
        <w:rPr>
          <w:rFonts w:hint="default" w:ascii="Times New Roman" w:hAnsi="Times New Roman" w:eastAsia="仿宋_GB2312" w:cs="Times New Roman"/>
          <w:sz w:val="21"/>
          <w:szCs w:val="21"/>
        </w:rPr>
        <w:t>2798</w:t>
      </w:r>
      <w:r>
        <w:rPr>
          <w:rFonts w:hint="eastAsia" w:ascii="仿宋_GB2312" w:hAnsi="仿宋_GB2312" w:eastAsia="仿宋_GB2312" w:cs="仿宋_GB2312"/>
          <w:sz w:val="21"/>
          <w:szCs w:val="21"/>
        </w:rPr>
        <w:t>）</w:t>
      </w:r>
    </w:p>
    <w:sectPr>
      <w:footerReference r:id="rId3" w:type="default"/>
      <w:pgSz w:w="16838" w:h="11906" w:orient="landscape"/>
      <w:pgMar w:top="1531" w:right="2041" w:bottom="1531" w:left="204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5NWNlM2U5N2NhMTExYTVlOWMxOGVjOTQ2ZDZkMzIifQ=="/>
  </w:docVars>
  <w:rsids>
    <w:rsidRoot w:val="38056DAD"/>
    <w:rsid w:val="2A390B59"/>
    <w:rsid w:val="2B5A7932"/>
    <w:rsid w:val="38056DAD"/>
    <w:rsid w:val="3BC1342D"/>
    <w:rsid w:val="3CB13731"/>
    <w:rsid w:val="4FAF7E9C"/>
    <w:rsid w:val="63A525B6"/>
    <w:rsid w:val="70AE2BC3"/>
    <w:rsid w:val="74D00889"/>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2024-02-28T15:52:00Z</dcterms:created>
  <dc:creator>依日贵</dc:creator>
  <cp:lastModifiedBy>依日贵</cp:lastModifiedBy>
  <cp:lastPrinted>2024-03-01T08:27:32Z</cp:lastPrinted>
  <dcterms:modified xsi:type="dcterms:W3CDTF">2024-03-01T08:27:35Z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63D8F0493E9E41AA8A0BAED1D5DD507D_13</vt:lpwstr>
  </property>
</Properties>
</file>